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BF68A" w14:textId="77777777" w:rsidR="00DC250D" w:rsidRDefault="00DC250D" w:rsidP="00DC250D">
      <w:pPr>
        <w:jc w:val="center"/>
        <w:outlineLvl w:val="0"/>
        <w:rPr>
          <w:b/>
          <w:bCs/>
          <w:szCs w:val="24"/>
        </w:rPr>
      </w:pPr>
      <w:r w:rsidRPr="00DC250D">
        <w:rPr>
          <w:b/>
          <w:bCs/>
          <w:szCs w:val="24"/>
        </w:rPr>
        <w:t>ABSTRACTS OF PRESENTATIONS AT THE HUNGARIAN AEROSOL CONFERENCE</w:t>
      </w:r>
    </w:p>
    <w:p w14:paraId="0E7955AB" w14:textId="22FF3ADD" w:rsidR="000033CC" w:rsidRPr="00EF4FF9" w:rsidRDefault="000033CC" w:rsidP="000033CC">
      <w:pPr>
        <w:tabs>
          <w:tab w:val="right" w:pos="9000"/>
        </w:tabs>
        <w:rPr>
          <w:szCs w:val="24"/>
          <w:lang w:val="hu-HU"/>
        </w:rPr>
      </w:pPr>
      <w:r w:rsidRPr="00EF4FF9">
        <w:rPr>
          <w:szCs w:val="24"/>
          <w:lang w:val="hu-HU"/>
        </w:rPr>
        <w:tab/>
      </w:r>
      <w:r w:rsidR="00DC250D">
        <w:rPr>
          <w:szCs w:val="24"/>
          <w:lang w:val="hu-HU"/>
        </w:rPr>
        <w:t>Leave one blank line</w:t>
      </w:r>
    </w:p>
    <w:p w14:paraId="5FD84109" w14:textId="77777777" w:rsidR="000033CC" w:rsidRPr="00964B73" w:rsidRDefault="000033CC" w:rsidP="000033CC">
      <w:pPr>
        <w:jc w:val="center"/>
        <w:outlineLvl w:val="0"/>
        <w:rPr>
          <w:b/>
          <w:bCs/>
          <w:szCs w:val="24"/>
          <w:lang w:val="hu-HU"/>
        </w:rPr>
      </w:pPr>
      <w:r>
        <w:rPr>
          <w:b/>
          <w:bCs/>
          <w:szCs w:val="24"/>
          <w:lang w:val="hu-HU"/>
        </w:rPr>
        <w:t>Nagy</w:t>
      </w:r>
      <w:r w:rsidRPr="00EF4FF9">
        <w:rPr>
          <w:b/>
          <w:bCs/>
          <w:szCs w:val="24"/>
          <w:lang w:val="hu-HU"/>
        </w:rPr>
        <w:t xml:space="preserve"> Péter</w:t>
      </w:r>
      <w:r w:rsidRPr="009877A7">
        <w:rPr>
          <w:b/>
          <w:bCs/>
          <w:szCs w:val="24"/>
          <w:vertAlign w:val="superscript"/>
          <w:lang w:val="hu-HU"/>
        </w:rPr>
        <w:t xml:space="preserve"> </w:t>
      </w:r>
      <w:r w:rsidRPr="00EF4FF9">
        <w:rPr>
          <w:b/>
          <w:bCs/>
          <w:szCs w:val="24"/>
          <w:vertAlign w:val="superscript"/>
          <w:lang w:val="hu-HU"/>
        </w:rPr>
        <w:t>1</w:t>
      </w:r>
      <w:r>
        <w:rPr>
          <w:b/>
          <w:bCs/>
          <w:szCs w:val="24"/>
          <w:lang w:val="hu-HU"/>
        </w:rPr>
        <w:t>, Kiss</w:t>
      </w:r>
      <w:r w:rsidRPr="00EF4FF9">
        <w:rPr>
          <w:b/>
          <w:bCs/>
          <w:szCs w:val="24"/>
          <w:lang w:val="hu-HU"/>
        </w:rPr>
        <w:t xml:space="preserve"> János</w:t>
      </w:r>
      <w:r w:rsidRPr="009877A7">
        <w:rPr>
          <w:b/>
          <w:bCs/>
          <w:szCs w:val="24"/>
          <w:vertAlign w:val="superscript"/>
          <w:lang w:val="hu-HU"/>
        </w:rPr>
        <w:t xml:space="preserve"> </w:t>
      </w:r>
      <w:r w:rsidRPr="00EF4FF9">
        <w:rPr>
          <w:b/>
          <w:bCs/>
          <w:szCs w:val="24"/>
          <w:vertAlign w:val="superscript"/>
          <w:lang w:val="hu-HU"/>
        </w:rPr>
        <w:t>2</w:t>
      </w:r>
      <w:r>
        <w:rPr>
          <w:b/>
          <w:bCs/>
          <w:szCs w:val="24"/>
          <w:lang w:val="hu-HU"/>
        </w:rPr>
        <w:t xml:space="preserve"> és Közepes Valéria</w:t>
      </w:r>
      <w:r w:rsidRPr="009877A7">
        <w:rPr>
          <w:b/>
          <w:bCs/>
          <w:szCs w:val="24"/>
          <w:vertAlign w:val="superscript"/>
          <w:lang w:val="hu-HU"/>
        </w:rPr>
        <w:t xml:space="preserve"> </w:t>
      </w:r>
      <w:r w:rsidRPr="00964B73">
        <w:rPr>
          <w:b/>
          <w:bCs/>
          <w:szCs w:val="24"/>
          <w:vertAlign w:val="superscript"/>
          <w:lang w:val="hu-HU"/>
        </w:rPr>
        <w:t>2</w:t>
      </w:r>
    </w:p>
    <w:p w14:paraId="0643CDCA" w14:textId="61B9DB5E" w:rsidR="000033CC" w:rsidRPr="00EF4FF9" w:rsidRDefault="000033CC" w:rsidP="000033CC">
      <w:pPr>
        <w:tabs>
          <w:tab w:val="right" w:pos="9000"/>
        </w:tabs>
        <w:rPr>
          <w:szCs w:val="24"/>
          <w:lang w:val="hu-HU"/>
        </w:rPr>
      </w:pPr>
      <w:r w:rsidRPr="00EF4FF9">
        <w:rPr>
          <w:szCs w:val="24"/>
          <w:lang w:val="hu-HU"/>
        </w:rPr>
        <w:tab/>
      </w:r>
      <w:r w:rsidR="00DC250D">
        <w:rPr>
          <w:szCs w:val="24"/>
          <w:lang w:val="hu-HU"/>
        </w:rPr>
        <w:t>Leave one blank line</w:t>
      </w:r>
      <w:r w:rsidR="00DC250D" w:rsidRPr="00EF4FF9">
        <w:rPr>
          <w:szCs w:val="24"/>
          <w:lang w:val="hu-HU"/>
        </w:rPr>
        <w:t xml:space="preserve"> </w:t>
      </w:r>
    </w:p>
    <w:p w14:paraId="723A77DA" w14:textId="77777777" w:rsidR="000033CC" w:rsidRPr="00AB3F4A" w:rsidRDefault="000033CC" w:rsidP="000033CC">
      <w:pPr>
        <w:jc w:val="center"/>
        <w:rPr>
          <w:szCs w:val="24"/>
          <w:lang w:val="hu-HU"/>
        </w:rPr>
      </w:pPr>
      <w:r w:rsidRPr="00AB3F4A">
        <w:rPr>
          <w:szCs w:val="24"/>
          <w:vertAlign w:val="superscript"/>
          <w:lang w:val="hu-HU"/>
        </w:rPr>
        <w:t>1</w:t>
      </w:r>
      <w:r w:rsidRPr="00AB3F4A">
        <w:rPr>
          <w:szCs w:val="24"/>
          <w:lang w:val="hu-HU"/>
        </w:rPr>
        <w:t xml:space="preserve"> Eötvös Loránd Tudományegyetem, Kémiai Intézet</w:t>
      </w:r>
      <w:r>
        <w:rPr>
          <w:szCs w:val="24"/>
          <w:lang w:val="hu-HU"/>
        </w:rPr>
        <w:t>,</w:t>
      </w:r>
      <w:r>
        <w:rPr>
          <w:szCs w:val="24"/>
          <w:lang w:val="hu-HU"/>
        </w:rPr>
        <w:br/>
      </w:r>
      <w:r w:rsidRPr="00AB3F4A">
        <w:rPr>
          <w:szCs w:val="24"/>
          <w:lang w:val="hu-HU"/>
        </w:rPr>
        <w:t>1117 Bud</w:t>
      </w:r>
      <w:r>
        <w:rPr>
          <w:szCs w:val="24"/>
          <w:lang w:val="hu-HU"/>
        </w:rPr>
        <w:t>apest, Pázmány Péter sétány 1/A, E-mail: ezesez1@celsius.elte.hu</w:t>
      </w:r>
    </w:p>
    <w:p w14:paraId="4814CC3F" w14:textId="77777777" w:rsidR="000033CC" w:rsidRPr="00AB3F4A" w:rsidRDefault="000033CC" w:rsidP="000033CC">
      <w:pPr>
        <w:spacing w:before="120"/>
        <w:jc w:val="center"/>
        <w:rPr>
          <w:szCs w:val="24"/>
          <w:lang w:val="hu-HU"/>
        </w:rPr>
      </w:pPr>
      <w:r w:rsidRPr="00AB3F4A">
        <w:rPr>
          <w:szCs w:val="24"/>
          <w:vertAlign w:val="superscript"/>
          <w:lang w:val="hu-HU"/>
        </w:rPr>
        <w:t>2</w:t>
      </w:r>
      <w:r w:rsidRPr="00AB3F4A">
        <w:rPr>
          <w:szCs w:val="24"/>
          <w:lang w:val="hu-HU"/>
        </w:rPr>
        <w:t xml:space="preserve"> Országos Meteorológiai Szolgálat</w:t>
      </w:r>
      <w:r>
        <w:rPr>
          <w:szCs w:val="24"/>
          <w:lang w:val="hu-HU"/>
        </w:rPr>
        <w:br/>
      </w:r>
      <w:r w:rsidRPr="00AB3F4A">
        <w:rPr>
          <w:szCs w:val="24"/>
          <w:lang w:val="hu-HU"/>
        </w:rPr>
        <w:t>1024 Budapest, Kitaibel Pál utca 1.</w:t>
      </w:r>
      <w:r>
        <w:rPr>
          <w:szCs w:val="24"/>
          <w:lang w:val="hu-HU"/>
        </w:rPr>
        <w:t>, E-mail: ezesez2@kelvin.met.hu</w:t>
      </w:r>
    </w:p>
    <w:p w14:paraId="60EC7602" w14:textId="77777777" w:rsidR="000033CC" w:rsidRPr="00EF4FF9" w:rsidRDefault="000033CC" w:rsidP="000033CC">
      <w:pPr>
        <w:jc w:val="center"/>
        <w:rPr>
          <w:szCs w:val="24"/>
          <w:lang w:val="hu-HU"/>
        </w:rPr>
      </w:pPr>
    </w:p>
    <w:p w14:paraId="6A7824DB" w14:textId="049386F7" w:rsidR="000033CC" w:rsidRDefault="000033CC" w:rsidP="000033CC">
      <w:pPr>
        <w:tabs>
          <w:tab w:val="right" w:pos="9000"/>
        </w:tabs>
        <w:rPr>
          <w:szCs w:val="24"/>
          <w:lang w:val="hu-HU"/>
        </w:rPr>
      </w:pPr>
      <w:r>
        <w:rPr>
          <w:szCs w:val="24"/>
          <w:lang w:val="hu-HU"/>
        </w:rPr>
        <w:tab/>
      </w:r>
      <w:r w:rsidR="00DC250D" w:rsidRPr="00DC250D">
        <w:rPr>
          <w:szCs w:val="24"/>
          <w:lang w:val="hu-HU"/>
        </w:rPr>
        <w:t xml:space="preserve"> </w:t>
      </w:r>
      <w:r w:rsidR="00DC250D">
        <w:rPr>
          <w:szCs w:val="24"/>
          <w:lang w:val="hu-HU"/>
        </w:rPr>
        <w:t>Leave two blank lines</w:t>
      </w:r>
    </w:p>
    <w:p w14:paraId="1E2AE89C" w14:textId="54A2A281" w:rsidR="000033CC" w:rsidRPr="004705AB" w:rsidRDefault="00DC250D" w:rsidP="000033CC">
      <w:pPr>
        <w:outlineLvl w:val="0"/>
        <w:rPr>
          <w:b/>
          <w:bCs/>
          <w:szCs w:val="24"/>
          <w:lang w:val="hu-HU"/>
        </w:rPr>
      </w:pPr>
      <w:r>
        <w:rPr>
          <w:b/>
          <w:bCs/>
          <w:szCs w:val="24"/>
          <w:lang w:val="hu-HU"/>
        </w:rPr>
        <w:t>Introduction</w:t>
      </w:r>
    </w:p>
    <w:p w14:paraId="6F2A7698" w14:textId="77777777" w:rsidR="000033CC" w:rsidRDefault="000033CC" w:rsidP="000033CC">
      <w:pPr>
        <w:rPr>
          <w:szCs w:val="24"/>
          <w:lang w:val="hu-HU"/>
        </w:rPr>
      </w:pPr>
    </w:p>
    <w:p w14:paraId="6DFF1AC3" w14:textId="77777777" w:rsidR="00DC250D" w:rsidRPr="00DC250D" w:rsidRDefault="00DC250D" w:rsidP="00DC250D">
      <w:pPr>
        <w:jc w:val="both"/>
        <w:rPr>
          <w:szCs w:val="24"/>
        </w:rPr>
      </w:pPr>
      <w:r w:rsidRPr="00DC250D">
        <w:rPr>
          <w:szCs w:val="24"/>
        </w:rPr>
        <w:t>The abstract should not exceed 2 pages in length. The paper size must be A4 with margins of 2.54 cm on all sides. The font should be uniformly 12 pt Times New Roman, with single line spacing, and all paragraphs justified.</w:t>
      </w:r>
    </w:p>
    <w:p w14:paraId="6EB2AC04" w14:textId="77777777" w:rsidR="00DC250D" w:rsidRPr="00DC250D" w:rsidRDefault="00DC250D" w:rsidP="00DC250D">
      <w:pPr>
        <w:jc w:val="both"/>
        <w:rPr>
          <w:szCs w:val="24"/>
        </w:rPr>
      </w:pPr>
      <w:r w:rsidRPr="00DC250D">
        <w:rPr>
          <w:szCs w:val="24"/>
        </w:rPr>
        <w:t>The title of the paper should be written in uppercase letters, centered on the first line of the page, in bold, using 12 pt Times New Roman font. The authors’ names should also be in bold and centered. In the case of multiple authors, affiliations should be indicated by superscript Arabic numerals placed after the authors’ names. It is recommended to provide one e-mail address per affiliation.</w:t>
      </w:r>
    </w:p>
    <w:p w14:paraId="577DF4FC" w14:textId="77777777" w:rsidR="00DC250D" w:rsidRPr="00DC250D" w:rsidRDefault="00DC250D" w:rsidP="00DC250D">
      <w:pPr>
        <w:jc w:val="both"/>
        <w:rPr>
          <w:szCs w:val="24"/>
        </w:rPr>
      </w:pPr>
      <w:r w:rsidRPr="00DC250D">
        <w:rPr>
          <w:szCs w:val="24"/>
        </w:rPr>
        <w:t>Section headings should be in bold and left-aligned. Leave one blank line after each section heading and also after each section. Paragraphs should be indented by 0.75 cm from the left margin.</w:t>
      </w:r>
    </w:p>
    <w:p w14:paraId="618E2FCA" w14:textId="77777777" w:rsidR="000033CC" w:rsidRDefault="000033CC" w:rsidP="000033CC">
      <w:pPr>
        <w:jc w:val="both"/>
        <w:rPr>
          <w:lang w:val="hu-HU"/>
        </w:rPr>
      </w:pPr>
    </w:p>
    <w:p w14:paraId="70C9FE26" w14:textId="77777777" w:rsidR="00DC250D" w:rsidRPr="00DC250D" w:rsidRDefault="00DC250D" w:rsidP="00DC250D">
      <w:pPr>
        <w:jc w:val="both"/>
        <w:rPr>
          <w:b/>
          <w:bCs/>
        </w:rPr>
      </w:pPr>
      <w:r w:rsidRPr="00DC250D">
        <w:rPr>
          <w:b/>
          <w:bCs/>
        </w:rPr>
        <w:t>Figures and Tables</w:t>
      </w:r>
    </w:p>
    <w:p w14:paraId="1027E0A2" w14:textId="6D9BB9E6" w:rsidR="00DC250D" w:rsidRPr="00DC250D" w:rsidRDefault="00DC250D" w:rsidP="00DC250D">
      <w:pPr>
        <w:jc w:val="both"/>
      </w:pPr>
      <w:r>
        <w:t>F</w:t>
      </w:r>
      <w:r w:rsidRPr="00DC250D">
        <w:t>igures, tables, and equations may be included within the text. All objects should be centered, with one blank line before and after each object.</w:t>
      </w:r>
    </w:p>
    <w:p w14:paraId="64E15ED2" w14:textId="77777777" w:rsidR="00DC250D" w:rsidRPr="00DC250D" w:rsidRDefault="00DC250D" w:rsidP="00DC250D">
      <w:pPr>
        <w:jc w:val="both"/>
      </w:pPr>
      <w:r w:rsidRPr="00DC250D">
        <w:t>Tables should be numbered using Arabic numerals, and the title should be placed above the table. Tables should not contain vertical lines or cell borders.</w:t>
      </w:r>
    </w:p>
    <w:p w14:paraId="7DFA01AB" w14:textId="77777777" w:rsidR="00DC250D" w:rsidRDefault="00DC250D" w:rsidP="00DC250D">
      <w:pPr>
        <w:jc w:val="both"/>
      </w:pPr>
    </w:p>
    <w:p w14:paraId="34FF926E" w14:textId="03696951" w:rsidR="00DC250D" w:rsidRPr="00DC250D" w:rsidRDefault="00DC250D" w:rsidP="00DC250D">
      <w:pPr>
        <w:jc w:val="center"/>
      </w:pPr>
      <w:r w:rsidRPr="00DC250D">
        <w:t>Table 1. Hungarian Aerosol Conferences held to date</w:t>
      </w:r>
    </w:p>
    <w:p w14:paraId="591415D9" w14:textId="77777777" w:rsidR="000033CC" w:rsidRDefault="000033CC" w:rsidP="000033CC">
      <w:pPr>
        <w:jc w:val="both"/>
        <w:rPr>
          <w:lang w:val="hu-HU"/>
        </w:rPr>
      </w:pPr>
    </w:p>
    <w:tbl>
      <w:tblPr>
        <w:tblStyle w:val="Rcsostblzat"/>
        <w:tblW w:w="0" w:type="auto"/>
        <w:jc w:val="center"/>
        <w:tblLook w:val="01E0" w:firstRow="1" w:lastRow="1" w:firstColumn="1" w:lastColumn="1" w:noHBand="0" w:noVBand="0"/>
      </w:tblPr>
      <w:tblGrid>
        <w:gridCol w:w="6480"/>
      </w:tblGrid>
      <w:tr w:rsidR="000033CC" w14:paraId="12E3C535" w14:textId="77777777">
        <w:trPr>
          <w:trHeight w:val="351"/>
          <w:jc w:val="center"/>
        </w:trPr>
        <w:tc>
          <w:tcPr>
            <w:tcW w:w="6480" w:type="dxa"/>
            <w:tcBorders>
              <w:left w:val="nil"/>
              <w:right w:val="nil"/>
            </w:tcBorders>
          </w:tcPr>
          <w:p w14:paraId="0D9B1E3D" w14:textId="77777777" w:rsidR="000033CC" w:rsidRDefault="000033CC" w:rsidP="000033CC">
            <w:pPr>
              <w:tabs>
                <w:tab w:val="center" w:pos="5652"/>
              </w:tabs>
              <w:jc w:val="both"/>
              <w:rPr>
                <w:lang w:val="hu-HU"/>
              </w:rPr>
            </w:pPr>
            <w:r>
              <w:rPr>
                <w:lang w:val="hu-HU"/>
              </w:rPr>
              <w:t>Helyszín</w:t>
            </w:r>
            <w:r>
              <w:rPr>
                <w:lang w:val="hu-HU"/>
              </w:rPr>
              <w:tab/>
              <w:t>Időpont</w:t>
            </w:r>
          </w:p>
        </w:tc>
      </w:tr>
      <w:tr w:rsidR="000033CC" w14:paraId="453BF0D5" w14:textId="77777777">
        <w:trPr>
          <w:trHeight w:val="1842"/>
          <w:jc w:val="center"/>
        </w:trPr>
        <w:tc>
          <w:tcPr>
            <w:tcW w:w="6480" w:type="dxa"/>
            <w:tcBorders>
              <w:left w:val="nil"/>
              <w:right w:val="nil"/>
            </w:tcBorders>
          </w:tcPr>
          <w:p w14:paraId="47113AD3" w14:textId="77777777" w:rsidR="000033CC" w:rsidRDefault="000033CC" w:rsidP="000033CC">
            <w:pPr>
              <w:tabs>
                <w:tab w:val="center" w:pos="5652"/>
              </w:tabs>
              <w:jc w:val="both"/>
              <w:rPr>
                <w:lang w:val="hu-HU"/>
              </w:rPr>
            </w:pPr>
            <w:r>
              <w:rPr>
                <w:lang w:val="hu-HU"/>
              </w:rPr>
              <w:t>Veszprém</w:t>
            </w:r>
            <w:r>
              <w:rPr>
                <w:lang w:val="hu-HU"/>
              </w:rPr>
              <w:tab/>
              <w:t>1989</w:t>
            </w:r>
          </w:p>
          <w:p w14:paraId="7B0A8FCF" w14:textId="77777777" w:rsidR="000033CC" w:rsidRDefault="000033CC" w:rsidP="000033CC">
            <w:pPr>
              <w:tabs>
                <w:tab w:val="center" w:pos="5652"/>
              </w:tabs>
              <w:jc w:val="both"/>
              <w:rPr>
                <w:lang w:val="hu-HU"/>
              </w:rPr>
            </w:pPr>
            <w:r>
              <w:rPr>
                <w:lang w:val="hu-HU"/>
              </w:rPr>
              <w:t>Debrecen</w:t>
            </w:r>
            <w:r>
              <w:rPr>
                <w:lang w:val="hu-HU"/>
              </w:rPr>
              <w:tab/>
              <w:t>1992</w:t>
            </w:r>
          </w:p>
          <w:p w14:paraId="5F3BEC43" w14:textId="77777777" w:rsidR="000033CC" w:rsidRDefault="000033CC" w:rsidP="000033CC">
            <w:pPr>
              <w:tabs>
                <w:tab w:val="center" w:pos="5652"/>
              </w:tabs>
              <w:jc w:val="both"/>
              <w:rPr>
                <w:lang w:val="hu-HU"/>
              </w:rPr>
            </w:pPr>
            <w:r>
              <w:rPr>
                <w:lang w:val="hu-HU"/>
              </w:rPr>
              <w:t>Budapest</w:t>
            </w:r>
            <w:r>
              <w:rPr>
                <w:lang w:val="hu-HU"/>
              </w:rPr>
              <w:tab/>
              <w:t>1996</w:t>
            </w:r>
          </w:p>
          <w:p w14:paraId="18E3AE1E" w14:textId="77777777" w:rsidR="000033CC" w:rsidRDefault="000033CC" w:rsidP="000033CC">
            <w:pPr>
              <w:tabs>
                <w:tab w:val="center" w:pos="5652"/>
              </w:tabs>
              <w:jc w:val="both"/>
              <w:rPr>
                <w:lang w:val="hu-HU"/>
              </w:rPr>
            </w:pPr>
            <w:r>
              <w:rPr>
                <w:lang w:val="hu-HU"/>
              </w:rPr>
              <w:t>Veszprém</w:t>
            </w:r>
            <w:r>
              <w:rPr>
                <w:lang w:val="hu-HU"/>
              </w:rPr>
              <w:tab/>
              <w:t>1998</w:t>
            </w:r>
          </w:p>
          <w:p w14:paraId="719B7E53" w14:textId="77777777" w:rsidR="000033CC" w:rsidRDefault="000033CC" w:rsidP="000033CC">
            <w:pPr>
              <w:tabs>
                <w:tab w:val="center" w:pos="5652"/>
              </w:tabs>
              <w:jc w:val="both"/>
              <w:rPr>
                <w:lang w:val="hu-HU"/>
              </w:rPr>
            </w:pPr>
            <w:r>
              <w:rPr>
                <w:lang w:val="hu-HU"/>
              </w:rPr>
              <w:t>Szeged</w:t>
            </w:r>
            <w:r>
              <w:rPr>
                <w:lang w:val="hu-HU"/>
              </w:rPr>
              <w:tab/>
              <w:t>2000</w:t>
            </w:r>
          </w:p>
          <w:p w14:paraId="754A36A7" w14:textId="77777777" w:rsidR="000033CC" w:rsidRDefault="000033CC" w:rsidP="000033CC">
            <w:pPr>
              <w:tabs>
                <w:tab w:val="center" w:pos="5652"/>
              </w:tabs>
              <w:jc w:val="both"/>
              <w:rPr>
                <w:lang w:val="hu-HU"/>
              </w:rPr>
            </w:pPr>
            <w:r>
              <w:rPr>
                <w:lang w:val="hu-HU"/>
              </w:rPr>
              <w:t>Debrecen</w:t>
            </w:r>
            <w:r>
              <w:rPr>
                <w:lang w:val="hu-HU"/>
              </w:rPr>
              <w:tab/>
              <w:t>2002</w:t>
            </w:r>
          </w:p>
          <w:p w14:paraId="3B1F924A" w14:textId="77777777" w:rsidR="000033CC" w:rsidRDefault="000033CC" w:rsidP="000033CC">
            <w:pPr>
              <w:tabs>
                <w:tab w:val="center" w:pos="5652"/>
              </w:tabs>
              <w:jc w:val="both"/>
              <w:rPr>
                <w:lang w:val="hu-HU"/>
              </w:rPr>
            </w:pPr>
            <w:r>
              <w:rPr>
                <w:lang w:val="hu-HU"/>
              </w:rPr>
              <w:t>Budapest</w:t>
            </w:r>
            <w:r w:rsidRPr="00E313E3">
              <w:rPr>
                <w:lang w:val="hu-HU"/>
              </w:rPr>
              <w:t>*</w:t>
            </w:r>
            <w:r>
              <w:rPr>
                <w:lang w:val="hu-HU"/>
              </w:rPr>
              <w:tab/>
              <w:t>2004</w:t>
            </w:r>
          </w:p>
        </w:tc>
      </w:tr>
    </w:tbl>
    <w:p w14:paraId="2792EDF4" w14:textId="59AF5161" w:rsidR="000033CC" w:rsidRDefault="000033CC" w:rsidP="000033CC">
      <w:pPr>
        <w:tabs>
          <w:tab w:val="left" w:pos="1260"/>
        </w:tabs>
        <w:jc w:val="both"/>
        <w:rPr>
          <w:lang w:val="hu-HU"/>
        </w:rPr>
      </w:pPr>
      <w:r>
        <w:rPr>
          <w:lang w:val="hu-HU"/>
        </w:rPr>
        <w:tab/>
        <w:t xml:space="preserve">* </w:t>
      </w:r>
      <w:r w:rsidR="00DC250D">
        <w:rPr>
          <w:lang w:val="hu-HU"/>
        </w:rPr>
        <w:t xml:space="preserve">in the frame of the </w:t>
      </w:r>
      <w:r>
        <w:rPr>
          <w:lang w:val="hu-HU"/>
        </w:rPr>
        <w:t xml:space="preserve">European Aerosol Conference </w:t>
      </w:r>
    </w:p>
    <w:p w14:paraId="4ABF638F" w14:textId="77777777" w:rsidR="000033CC" w:rsidRDefault="000033CC" w:rsidP="000033CC">
      <w:pPr>
        <w:ind w:firstLine="425"/>
        <w:jc w:val="both"/>
        <w:rPr>
          <w:lang w:val="hu-HU"/>
        </w:rPr>
      </w:pPr>
    </w:p>
    <w:p w14:paraId="4C91934D" w14:textId="475A5472" w:rsidR="0008522A" w:rsidRDefault="00DC250D" w:rsidP="000033CC">
      <w:pPr>
        <w:jc w:val="both"/>
      </w:pPr>
      <w:r w:rsidRPr="00DC250D">
        <w:t>Figures should also be numbered using Arabic numerals, and their captions should be placed below the figures in a self-explanatory format.</w:t>
      </w:r>
    </w:p>
    <w:p w14:paraId="6F6664CA" w14:textId="77777777" w:rsidR="0008522A" w:rsidRDefault="0008522A">
      <w:r>
        <w:br w:type="page"/>
      </w:r>
    </w:p>
    <w:p w14:paraId="427616ED" w14:textId="77777777" w:rsidR="00DC250D" w:rsidRDefault="00DC250D" w:rsidP="000033CC">
      <w:pPr>
        <w:jc w:val="both"/>
      </w:pPr>
    </w:p>
    <w:p w14:paraId="68DD6206" w14:textId="46358F3F" w:rsidR="000033CC" w:rsidRDefault="00DC250D" w:rsidP="000033CC">
      <w:pPr>
        <w:jc w:val="both"/>
        <w:rPr>
          <w:lang w:val="hu-HU"/>
        </w:rPr>
      </w:pPr>
      <w:r w:rsidRPr="0023060C">
        <w:rPr>
          <w:bCs/>
          <w:noProof/>
          <w:szCs w:val="24"/>
          <w:lang w:val="en-US" w:eastAsia="en-US"/>
        </w:rPr>
        <w:drawing>
          <wp:anchor distT="0" distB="0" distL="114300" distR="114300" simplePos="0" relativeHeight="251657728" behindDoc="1" locked="0" layoutInCell="1" allowOverlap="1" wp14:anchorId="6287AA22" wp14:editId="4AB85205">
            <wp:simplePos x="0" y="0"/>
            <wp:positionH relativeFrom="margin">
              <wp:posOffset>1165860</wp:posOffset>
            </wp:positionH>
            <wp:positionV relativeFrom="paragraph">
              <wp:posOffset>106680</wp:posOffset>
            </wp:positionV>
            <wp:extent cx="3428365" cy="232283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grayscl/>
                      <a:extLst>
                        <a:ext uri="{28A0092B-C50C-407E-A947-70E740481C1C}">
                          <a14:useLocalDpi xmlns:a14="http://schemas.microsoft.com/office/drawing/2010/main" val="0"/>
                        </a:ext>
                      </a:extLst>
                    </a:blip>
                    <a:srcRect l="4001" t="11432" r="8003" b="3429"/>
                    <a:stretch>
                      <a:fillRect/>
                    </a:stretch>
                  </pic:blipFill>
                  <pic:spPr bwMode="auto">
                    <a:xfrm>
                      <a:off x="0" y="0"/>
                      <a:ext cx="3428365" cy="23228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0066EA1" w14:textId="77777777" w:rsidR="000033CC" w:rsidRPr="0023060C" w:rsidRDefault="000033CC" w:rsidP="000033CC">
      <w:pPr>
        <w:rPr>
          <w:bCs/>
          <w:szCs w:val="24"/>
          <w:lang w:val="hu-HU"/>
        </w:rPr>
      </w:pPr>
    </w:p>
    <w:p w14:paraId="61CEBFEC" w14:textId="77777777" w:rsidR="000033CC" w:rsidRPr="0023060C" w:rsidRDefault="000033CC" w:rsidP="000033CC">
      <w:pPr>
        <w:rPr>
          <w:bCs/>
          <w:szCs w:val="24"/>
          <w:lang w:val="hu-HU"/>
        </w:rPr>
      </w:pPr>
    </w:p>
    <w:p w14:paraId="53A5ABBB" w14:textId="77777777" w:rsidR="000033CC" w:rsidRPr="0023060C" w:rsidRDefault="000033CC" w:rsidP="000033CC">
      <w:pPr>
        <w:rPr>
          <w:bCs/>
          <w:szCs w:val="24"/>
          <w:lang w:val="hu-HU"/>
        </w:rPr>
      </w:pPr>
    </w:p>
    <w:p w14:paraId="15BA0D76" w14:textId="77777777" w:rsidR="000033CC" w:rsidRPr="0023060C" w:rsidRDefault="000033CC" w:rsidP="000033CC">
      <w:pPr>
        <w:rPr>
          <w:bCs/>
          <w:szCs w:val="24"/>
          <w:lang w:val="hu-HU"/>
        </w:rPr>
      </w:pPr>
    </w:p>
    <w:p w14:paraId="1DA32A42" w14:textId="77777777" w:rsidR="000033CC" w:rsidRPr="0023060C" w:rsidRDefault="000033CC" w:rsidP="000033CC">
      <w:pPr>
        <w:rPr>
          <w:bCs/>
          <w:szCs w:val="24"/>
          <w:lang w:val="hu-HU"/>
        </w:rPr>
      </w:pPr>
    </w:p>
    <w:p w14:paraId="1798D6E8" w14:textId="77777777" w:rsidR="000033CC" w:rsidRPr="0023060C" w:rsidRDefault="000033CC" w:rsidP="000033CC">
      <w:pPr>
        <w:rPr>
          <w:bCs/>
          <w:szCs w:val="24"/>
          <w:lang w:val="hu-HU"/>
        </w:rPr>
      </w:pPr>
    </w:p>
    <w:p w14:paraId="5D794D35" w14:textId="77777777" w:rsidR="000033CC" w:rsidRPr="0023060C" w:rsidRDefault="000033CC" w:rsidP="000033CC">
      <w:pPr>
        <w:rPr>
          <w:bCs/>
          <w:szCs w:val="24"/>
          <w:lang w:val="hu-HU"/>
        </w:rPr>
      </w:pPr>
    </w:p>
    <w:p w14:paraId="1193DCAC" w14:textId="77777777" w:rsidR="000033CC" w:rsidRPr="0023060C" w:rsidRDefault="000033CC" w:rsidP="000033CC">
      <w:pPr>
        <w:rPr>
          <w:bCs/>
          <w:szCs w:val="24"/>
          <w:lang w:val="hu-HU"/>
        </w:rPr>
      </w:pPr>
    </w:p>
    <w:p w14:paraId="708573F8" w14:textId="77777777" w:rsidR="000033CC" w:rsidRPr="0023060C" w:rsidRDefault="000033CC" w:rsidP="000033CC">
      <w:pPr>
        <w:rPr>
          <w:bCs/>
          <w:szCs w:val="24"/>
          <w:lang w:val="hu-HU"/>
        </w:rPr>
      </w:pPr>
    </w:p>
    <w:p w14:paraId="4ABEE7DB" w14:textId="77777777" w:rsidR="000033CC" w:rsidRPr="0023060C" w:rsidRDefault="000033CC" w:rsidP="000033CC">
      <w:pPr>
        <w:rPr>
          <w:bCs/>
          <w:szCs w:val="24"/>
          <w:lang w:val="hu-HU"/>
        </w:rPr>
      </w:pPr>
    </w:p>
    <w:p w14:paraId="18D192A7" w14:textId="77777777" w:rsidR="000033CC" w:rsidRDefault="000033CC" w:rsidP="000033CC">
      <w:pPr>
        <w:rPr>
          <w:bCs/>
          <w:szCs w:val="24"/>
          <w:lang w:val="hu-HU"/>
        </w:rPr>
      </w:pPr>
    </w:p>
    <w:p w14:paraId="3AF3DF32" w14:textId="77777777" w:rsidR="000033CC" w:rsidRPr="0023060C" w:rsidRDefault="000033CC" w:rsidP="000033CC">
      <w:pPr>
        <w:rPr>
          <w:bCs/>
          <w:szCs w:val="24"/>
          <w:lang w:val="hu-HU"/>
        </w:rPr>
      </w:pPr>
    </w:p>
    <w:p w14:paraId="38C6426D" w14:textId="77777777" w:rsidR="000033CC" w:rsidRPr="0023060C" w:rsidRDefault="000033CC" w:rsidP="000033CC">
      <w:pPr>
        <w:jc w:val="both"/>
        <w:rPr>
          <w:bCs/>
          <w:szCs w:val="24"/>
          <w:lang w:val="hu-HU"/>
        </w:rPr>
      </w:pPr>
    </w:p>
    <w:p w14:paraId="75C7D4E0" w14:textId="77777777" w:rsidR="00DC250D" w:rsidRPr="00DC250D" w:rsidRDefault="00DC250D" w:rsidP="00DC250D">
      <w:pPr>
        <w:jc w:val="center"/>
        <w:rPr>
          <w:szCs w:val="24"/>
        </w:rPr>
      </w:pPr>
      <w:r w:rsidRPr="00DC250D">
        <w:rPr>
          <w:szCs w:val="24"/>
        </w:rPr>
        <w:t>Figure 1. Variation of aerosol mass concentration in 2003</w:t>
      </w:r>
    </w:p>
    <w:p w14:paraId="541482F4" w14:textId="77777777" w:rsidR="00DC250D" w:rsidRDefault="00DC250D" w:rsidP="00DC250D">
      <w:pPr>
        <w:jc w:val="center"/>
        <w:rPr>
          <w:szCs w:val="24"/>
        </w:rPr>
      </w:pPr>
    </w:p>
    <w:p w14:paraId="0E3E8E16" w14:textId="0AB81BF0" w:rsidR="00DC250D" w:rsidRPr="00DC250D" w:rsidRDefault="00DC250D" w:rsidP="00DC250D">
      <w:pPr>
        <w:jc w:val="both"/>
        <w:rPr>
          <w:szCs w:val="24"/>
        </w:rPr>
      </w:pPr>
      <w:r w:rsidRPr="00DC250D">
        <w:rPr>
          <w:szCs w:val="24"/>
        </w:rPr>
        <w:t>Equations should also be numbered, with Arabic numerals placed in parentheses at the right margin.</w:t>
      </w:r>
    </w:p>
    <w:p w14:paraId="436E107C" w14:textId="77777777" w:rsidR="000033CC" w:rsidRDefault="000033CC" w:rsidP="000033CC">
      <w:pPr>
        <w:jc w:val="both"/>
        <w:rPr>
          <w:lang w:val="hu-HU"/>
        </w:rPr>
      </w:pPr>
    </w:p>
    <w:p w14:paraId="707B379D" w14:textId="77777777" w:rsidR="000033CC" w:rsidRDefault="000033CC" w:rsidP="000033CC">
      <w:pPr>
        <w:tabs>
          <w:tab w:val="center" w:pos="4500"/>
          <w:tab w:val="right" w:pos="9000"/>
        </w:tabs>
        <w:rPr>
          <w:lang w:val="hu-HU"/>
        </w:rPr>
      </w:pPr>
      <w:r w:rsidRPr="00616A44">
        <w:rPr>
          <w:lang w:val="hu-HU"/>
        </w:rPr>
        <w:tab/>
      </w:r>
      <w:r>
        <w:rPr>
          <w:position w:val="-24"/>
          <w:sz w:val="20"/>
        </w:rPr>
        <w:object w:dxaOrig="1480" w:dyaOrig="620" w14:anchorId="0996D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30.75pt" o:ole="" fillcolor="window">
            <v:imagedata r:id="rId5" o:title=""/>
          </v:shape>
          <o:OLEObject Type="Embed" ProgID="Equation.3" ShapeID="_x0000_i1025" DrawAspect="Content" ObjectID="_1835513327" r:id="rId6"/>
        </w:object>
      </w:r>
      <w:r w:rsidRPr="002200A3">
        <w:rPr>
          <w:lang w:val="hu-HU"/>
        </w:rPr>
        <w:t xml:space="preserve"> ,</w:t>
      </w:r>
      <w:r w:rsidRPr="002200A3">
        <w:rPr>
          <w:lang w:val="hu-HU"/>
        </w:rPr>
        <w:tab/>
        <w:t>(1)</w:t>
      </w:r>
    </w:p>
    <w:p w14:paraId="421188AE" w14:textId="77777777" w:rsidR="000033CC" w:rsidRDefault="000033CC" w:rsidP="000033CC">
      <w:pPr>
        <w:tabs>
          <w:tab w:val="center" w:pos="4500"/>
          <w:tab w:val="right" w:pos="9000"/>
        </w:tabs>
        <w:rPr>
          <w:lang w:val="hu-HU"/>
        </w:rPr>
      </w:pPr>
    </w:p>
    <w:p w14:paraId="2ABDD7CA" w14:textId="77777777" w:rsidR="00DC250D" w:rsidRPr="00DC250D" w:rsidRDefault="00DC250D" w:rsidP="00DC250D">
      <w:pPr>
        <w:jc w:val="both"/>
        <w:rPr>
          <w:szCs w:val="24"/>
        </w:rPr>
      </w:pPr>
      <w:r w:rsidRPr="00DC250D">
        <w:rPr>
          <w:szCs w:val="24"/>
        </w:rPr>
        <w:t xml:space="preserve">where </w:t>
      </w:r>
      <w:r w:rsidRPr="00DC250D">
        <w:rPr>
          <w:i/>
          <w:iCs/>
          <w:szCs w:val="24"/>
        </w:rPr>
        <w:t>u</w:t>
      </w:r>
      <w:r w:rsidRPr="00DC250D">
        <w:rPr>
          <w:szCs w:val="24"/>
        </w:rPr>
        <w:t xml:space="preserve"> is the wind speed, </w:t>
      </w:r>
      <w:r w:rsidRPr="00DC250D">
        <w:rPr>
          <w:i/>
          <w:iCs/>
          <w:szCs w:val="24"/>
        </w:rPr>
        <w:t>z</w:t>
      </w:r>
      <w:r w:rsidRPr="00DC250D">
        <w:rPr>
          <w:szCs w:val="24"/>
        </w:rPr>
        <w:t xml:space="preserve"> is the height, </w:t>
      </w:r>
      <w:r w:rsidRPr="00DC250D">
        <w:rPr>
          <w:i/>
          <w:iCs/>
          <w:szCs w:val="24"/>
        </w:rPr>
        <w:t>u</w:t>
      </w:r>
      <w:r w:rsidRPr="00DC250D">
        <w:rPr>
          <w:szCs w:val="24"/>
        </w:rPr>
        <w:t>₍</w:t>
      </w:r>
      <w:r w:rsidRPr="00DC250D">
        <w:rPr>
          <w:rFonts w:ascii="Cambria Math" w:hAnsi="Cambria Math" w:cs="Cambria Math"/>
          <w:i/>
          <w:iCs/>
          <w:szCs w:val="24"/>
        </w:rPr>
        <w:t>∗</w:t>
      </w:r>
      <w:r w:rsidRPr="00DC250D">
        <w:rPr>
          <w:szCs w:val="24"/>
        </w:rPr>
        <w:t>₎ is the friction velocity, φₕ(ζ) is the universal function for sensible heat transfer, and ζ is the dimensionless height. Mathematical symbols written in Latin letters should be italicized, while Greek letters should not.</w:t>
      </w:r>
    </w:p>
    <w:p w14:paraId="0AE84A3D" w14:textId="77777777" w:rsidR="000033CC" w:rsidRPr="0079065A" w:rsidRDefault="000033CC" w:rsidP="000033CC">
      <w:pPr>
        <w:jc w:val="both"/>
        <w:rPr>
          <w:lang w:val="hu-HU"/>
        </w:rPr>
      </w:pPr>
    </w:p>
    <w:p w14:paraId="0EAB1FE4" w14:textId="77777777" w:rsidR="00DC250D" w:rsidRPr="00DC250D" w:rsidRDefault="00DC250D" w:rsidP="00DC250D">
      <w:pPr>
        <w:jc w:val="both"/>
        <w:outlineLvl w:val="0"/>
        <w:rPr>
          <w:b/>
          <w:bCs/>
          <w:szCs w:val="24"/>
        </w:rPr>
      </w:pPr>
      <w:r w:rsidRPr="00DC250D">
        <w:rPr>
          <w:b/>
          <w:bCs/>
          <w:szCs w:val="24"/>
        </w:rPr>
        <w:t>References</w:t>
      </w:r>
    </w:p>
    <w:p w14:paraId="55F31504" w14:textId="77777777" w:rsidR="00DC250D" w:rsidRPr="00DC250D" w:rsidRDefault="00DC250D" w:rsidP="00DC250D">
      <w:pPr>
        <w:jc w:val="both"/>
        <w:outlineLvl w:val="0"/>
        <w:rPr>
          <w:szCs w:val="24"/>
        </w:rPr>
      </w:pPr>
      <w:r w:rsidRPr="00DC250D">
        <w:rPr>
          <w:szCs w:val="24"/>
        </w:rPr>
        <w:t xml:space="preserve">Citations in the text should be given as follows: Kovács (2001), Kovács and Nagy (1998), and in the case of more than two authors, Kovács </w:t>
      </w:r>
      <w:r w:rsidRPr="00DC250D">
        <w:rPr>
          <w:i/>
          <w:iCs/>
          <w:szCs w:val="24"/>
        </w:rPr>
        <w:t>et al.</w:t>
      </w:r>
      <w:r w:rsidRPr="00DC250D">
        <w:rPr>
          <w:szCs w:val="24"/>
        </w:rPr>
        <w:t xml:space="preserve"> (2005) (</w:t>
      </w:r>
      <w:r w:rsidRPr="00DC250D">
        <w:rPr>
          <w:i/>
          <w:iCs/>
          <w:szCs w:val="24"/>
        </w:rPr>
        <w:t>et al.</w:t>
      </w:r>
      <w:r w:rsidRPr="00DC250D">
        <w:rPr>
          <w:szCs w:val="24"/>
        </w:rPr>
        <w:t xml:space="preserve"> in italics). For combined references, the format should be: (Kovács, 2001; Kovács and Nagy, 1998; Kovács </w:t>
      </w:r>
      <w:r w:rsidRPr="00DC250D">
        <w:rPr>
          <w:i/>
          <w:iCs/>
          <w:szCs w:val="24"/>
        </w:rPr>
        <w:t>et al.</w:t>
      </w:r>
      <w:r w:rsidRPr="00DC250D">
        <w:rPr>
          <w:szCs w:val="24"/>
        </w:rPr>
        <w:t>, 2005). If multiple works by the same author published in the same year are cited, use: Kovács (2001a), Kovács (2001b).</w:t>
      </w:r>
    </w:p>
    <w:p w14:paraId="697A1437" w14:textId="497FDE5E" w:rsidR="00DC250D" w:rsidRPr="00DC250D" w:rsidRDefault="00DC250D" w:rsidP="00DC250D">
      <w:pPr>
        <w:jc w:val="both"/>
        <w:outlineLvl w:val="0"/>
        <w:rPr>
          <w:szCs w:val="24"/>
        </w:rPr>
      </w:pPr>
      <w:r w:rsidRPr="00DC250D">
        <w:rPr>
          <w:szCs w:val="24"/>
        </w:rPr>
        <w:t xml:space="preserve">The final document should be submitted in MS Word format as an e-mail attachment, clearly labeled with the name of the presenting author, and sent to: </w:t>
      </w:r>
      <w:r w:rsidR="008972C7">
        <w:rPr>
          <w:szCs w:val="24"/>
        </w:rPr>
        <w:t>mak2026</w:t>
      </w:r>
      <w:r w:rsidRPr="00DC250D">
        <w:rPr>
          <w:szCs w:val="24"/>
        </w:rPr>
        <w:t>@</w:t>
      </w:r>
      <w:r w:rsidR="008972C7">
        <w:rPr>
          <w:szCs w:val="24"/>
        </w:rPr>
        <w:t>atomki.hu.</w:t>
      </w:r>
    </w:p>
    <w:p w14:paraId="0B66730D" w14:textId="77777777" w:rsidR="00DC250D" w:rsidRPr="00DC250D" w:rsidRDefault="00DC250D" w:rsidP="00DC250D">
      <w:pPr>
        <w:jc w:val="both"/>
        <w:outlineLvl w:val="0"/>
        <w:rPr>
          <w:szCs w:val="24"/>
        </w:rPr>
      </w:pPr>
      <w:r w:rsidRPr="00DC250D">
        <w:rPr>
          <w:szCs w:val="24"/>
        </w:rPr>
        <w:t>We kindly thank the authors in advance for their careful work and for submitting the manuscript by the deadline.</w:t>
      </w:r>
    </w:p>
    <w:p w14:paraId="745870DE" w14:textId="33E55B1F" w:rsidR="00DC250D" w:rsidRPr="00DC250D" w:rsidRDefault="00DC250D" w:rsidP="00DC250D">
      <w:pPr>
        <w:jc w:val="both"/>
        <w:outlineLvl w:val="0"/>
        <w:rPr>
          <w:b/>
          <w:bCs/>
          <w:szCs w:val="24"/>
        </w:rPr>
      </w:pPr>
    </w:p>
    <w:p w14:paraId="7FEEE8DC" w14:textId="77777777" w:rsidR="00DC250D" w:rsidRPr="00DC250D" w:rsidRDefault="00DC250D" w:rsidP="00DC250D">
      <w:pPr>
        <w:jc w:val="both"/>
        <w:outlineLvl w:val="0"/>
        <w:rPr>
          <w:b/>
          <w:bCs/>
          <w:szCs w:val="24"/>
        </w:rPr>
      </w:pPr>
      <w:r w:rsidRPr="00DC250D">
        <w:rPr>
          <w:b/>
          <w:bCs/>
          <w:szCs w:val="24"/>
        </w:rPr>
        <w:t>Acknowledgements</w:t>
      </w:r>
    </w:p>
    <w:p w14:paraId="0B6835A3" w14:textId="77777777" w:rsidR="00DC250D" w:rsidRPr="00DC250D" w:rsidRDefault="00DC250D" w:rsidP="00DC250D">
      <w:pPr>
        <w:jc w:val="both"/>
        <w:outlineLvl w:val="0"/>
        <w:rPr>
          <w:szCs w:val="24"/>
        </w:rPr>
      </w:pPr>
      <w:r w:rsidRPr="00DC250D">
        <w:rPr>
          <w:szCs w:val="24"/>
        </w:rPr>
        <w:t>This section should not contain separate paragraphs.</w:t>
      </w:r>
    </w:p>
    <w:p w14:paraId="7E1C948F" w14:textId="77777777" w:rsidR="00DC250D" w:rsidRDefault="00DC250D" w:rsidP="000033CC">
      <w:pPr>
        <w:jc w:val="both"/>
        <w:outlineLvl w:val="0"/>
        <w:rPr>
          <w:b/>
          <w:bCs/>
          <w:szCs w:val="24"/>
          <w:lang w:val="hu-HU"/>
        </w:rPr>
      </w:pPr>
    </w:p>
    <w:p w14:paraId="7DB151F6" w14:textId="3FB25B25" w:rsidR="000033CC" w:rsidRPr="00DC250D" w:rsidRDefault="00DC250D" w:rsidP="000033CC">
      <w:pPr>
        <w:jc w:val="both"/>
        <w:rPr>
          <w:b/>
          <w:bCs/>
          <w:szCs w:val="24"/>
          <w:lang w:val="hu-HU"/>
        </w:rPr>
      </w:pPr>
      <w:r w:rsidRPr="00DC250D">
        <w:rPr>
          <w:b/>
          <w:bCs/>
          <w:szCs w:val="24"/>
          <w:lang w:val="hu-HU"/>
        </w:rPr>
        <w:t>References</w:t>
      </w:r>
    </w:p>
    <w:p w14:paraId="16A25882" w14:textId="77777777" w:rsidR="000033CC" w:rsidRPr="000033CC" w:rsidRDefault="000033CC" w:rsidP="000033CC">
      <w:pPr>
        <w:ind w:left="360" w:hanging="360"/>
        <w:jc w:val="both"/>
        <w:rPr>
          <w:szCs w:val="24"/>
          <w:lang w:val="it-IT"/>
        </w:rPr>
      </w:pPr>
      <w:r w:rsidRPr="008F796D">
        <w:rPr>
          <w:iCs/>
          <w:szCs w:val="24"/>
          <w:lang w:val="hu-HU"/>
        </w:rPr>
        <w:t>Leith, C. E.,</w:t>
      </w:r>
      <w:r w:rsidRPr="008F796D">
        <w:rPr>
          <w:szCs w:val="24"/>
          <w:lang w:val="hu-HU"/>
        </w:rPr>
        <w:t xml:space="preserve"> 1974. Theoretical skill of Monte Carlo forecasts. </w:t>
      </w:r>
      <w:r w:rsidRPr="000033CC">
        <w:rPr>
          <w:szCs w:val="24"/>
          <w:lang w:val="it-IT"/>
        </w:rPr>
        <w:t>Mon. Wea. Rev. 102, 409</w:t>
      </w:r>
      <w:r w:rsidRPr="003F0037">
        <w:rPr>
          <w:szCs w:val="24"/>
        </w:rPr>
        <w:sym w:font="Symbol" w:char="F02D"/>
      </w:r>
      <w:r w:rsidRPr="000033CC">
        <w:rPr>
          <w:szCs w:val="24"/>
          <w:lang w:val="it-IT"/>
        </w:rPr>
        <w:t>418.</w:t>
      </w:r>
    </w:p>
    <w:p w14:paraId="6D2A3CBB" w14:textId="77777777" w:rsidR="000033CC" w:rsidRPr="003F0037" w:rsidRDefault="000033CC" w:rsidP="000033CC">
      <w:pPr>
        <w:ind w:left="360" w:hanging="360"/>
        <w:jc w:val="both"/>
        <w:rPr>
          <w:szCs w:val="24"/>
        </w:rPr>
      </w:pPr>
      <w:r w:rsidRPr="003F0037">
        <w:rPr>
          <w:iCs/>
          <w:szCs w:val="24"/>
          <w:lang w:val="it-IT"/>
        </w:rPr>
        <w:t>Molteni, F., Buizza, R., Palmer, T.N., Petroliagis, T.</w:t>
      </w:r>
      <w:r w:rsidRPr="003F0037">
        <w:rPr>
          <w:szCs w:val="24"/>
          <w:lang w:val="it-IT"/>
        </w:rPr>
        <w:t xml:space="preserve">, 1996. </w:t>
      </w:r>
      <w:r w:rsidRPr="003F0037">
        <w:rPr>
          <w:szCs w:val="24"/>
        </w:rPr>
        <w:t>The ECMWF Ensemble Prediction System: Methodology and validation. Quart. J. Roy. Meteor. Soc. 122, 73</w:t>
      </w:r>
      <w:r w:rsidRPr="003F0037">
        <w:rPr>
          <w:szCs w:val="24"/>
        </w:rPr>
        <w:sym w:font="Symbol" w:char="F02D"/>
      </w:r>
      <w:r w:rsidRPr="003F0037">
        <w:rPr>
          <w:szCs w:val="24"/>
        </w:rPr>
        <w:t>119.</w:t>
      </w:r>
    </w:p>
    <w:p w14:paraId="0868B30B" w14:textId="77777777" w:rsidR="000033CC" w:rsidRPr="003F0037" w:rsidRDefault="000033CC" w:rsidP="000033CC">
      <w:pPr>
        <w:ind w:left="360" w:hanging="360"/>
        <w:jc w:val="both"/>
        <w:rPr>
          <w:szCs w:val="24"/>
        </w:rPr>
      </w:pPr>
      <w:r w:rsidRPr="000033CC">
        <w:rPr>
          <w:iCs/>
          <w:szCs w:val="24"/>
          <w:lang w:val="en-US"/>
        </w:rPr>
        <w:t>Tél, T.,Gruiz, M.</w:t>
      </w:r>
      <w:r w:rsidRPr="000033CC">
        <w:rPr>
          <w:szCs w:val="24"/>
          <w:lang w:val="en-US"/>
        </w:rPr>
        <w:t xml:space="preserve">, 2002a. </w:t>
      </w:r>
      <w:r w:rsidRPr="003F0037">
        <w:rPr>
          <w:szCs w:val="24"/>
        </w:rPr>
        <w:t>Kaotikus dinamika. Nemzeti Tankönyvkiadó, Budapest.</w:t>
      </w:r>
    </w:p>
    <w:p w14:paraId="33A9700F" w14:textId="77777777" w:rsidR="000033CC" w:rsidRPr="003F0037" w:rsidRDefault="000033CC" w:rsidP="000033CC">
      <w:pPr>
        <w:ind w:left="360" w:hanging="360"/>
        <w:jc w:val="both"/>
        <w:rPr>
          <w:iCs/>
          <w:szCs w:val="24"/>
        </w:rPr>
      </w:pPr>
      <w:r w:rsidRPr="003F0037">
        <w:rPr>
          <w:iCs/>
          <w:szCs w:val="24"/>
          <w:lang w:val="de-DE"/>
        </w:rPr>
        <w:t>Tél, T.,Gruiz,</w:t>
      </w:r>
      <w:r>
        <w:rPr>
          <w:iCs/>
          <w:szCs w:val="24"/>
          <w:lang w:val="de-DE"/>
        </w:rPr>
        <w:t xml:space="preserve"> M., 2002b.</w:t>
      </w:r>
      <w:r w:rsidRPr="003F0037">
        <w:rPr>
          <w:iCs/>
          <w:szCs w:val="24"/>
          <w:lang w:val="de-DE"/>
        </w:rPr>
        <w:t xml:space="preserve"> Mi a káosz? </w:t>
      </w:r>
      <w:r w:rsidRPr="000033CC">
        <w:rPr>
          <w:iCs/>
          <w:szCs w:val="24"/>
          <w:lang w:val="pl-PL"/>
        </w:rPr>
        <w:t xml:space="preserve">(És mi nem az.) </w:t>
      </w:r>
      <w:r w:rsidRPr="003F0037">
        <w:rPr>
          <w:iCs/>
          <w:szCs w:val="24"/>
        </w:rPr>
        <w:t>Természet Világa, 133, 296</w:t>
      </w:r>
      <w:r w:rsidRPr="003F0037">
        <w:rPr>
          <w:iCs/>
          <w:szCs w:val="24"/>
        </w:rPr>
        <w:sym w:font="Symbol" w:char="F02D"/>
      </w:r>
      <w:r w:rsidRPr="003F0037">
        <w:rPr>
          <w:iCs/>
          <w:szCs w:val="24"/>
        </w:rPr>
        <w:t>298.</w:t>
      </w:r>
    </w:p>
    <w:p w14:paraId="063CB8BC" w14:textId="77777777" w:rsidR="002C7473" w:rsidRDefault="002C7473"/>
    <w:sectPr w:rsidR="002C7473">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74"/>
    <w:rsid w:val="000033CC"/>
    <w:rsid w:val="0008522A"/>
    <w:rsid w:val="001D3E91"/>
    <w:rsid w:val="001E204D"/>
    <w:rsid w:val="00216B79"/>
    <w:rsid w:val="00296D61"/>
    <w:rsid w:val="002C7473"/>
    <w:rsid w:val="00434910"/>
    <w:rsid w:val="00617AA3"/>
    <w:rsid w:val="00645047"/>
    <w:rsid w:val="00811ED0"/>
    <w:rsid w:val="008972C7"/>
    <w:rsid w:val="00B5488B"/>
    <w:rsid w:val="00BE1B74"/>
    <w:rsid w:val="00CC38CB"/>
    <w:rsid w:val="00D327A9"/>
    <w:rsid w:val="00D709DB"/>
    <w:rsid w:val="00DC2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8E456"/>
  <w15:chartTrackingRefBased/>
  <w15:docId w15:val="{69FB5890-DA02-44DD-9B26-FBBA471D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033CC"/>
    <w:rPr>
      <w:sz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00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rsid w:val="000033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70">
      <w:bodyDiv w:val="1"/>
      <w:marLeft w:val="0"/>
      <w:marRight w:val="0"/>
      <w:marTop w:val="0"/>
      <w:marBottom w:val="0"/>
      <w:divBdr>
        <w:top w:val="none" w:sz="0" w:space="0" w:color="auto"/>
        <w:left w:val="none" w:sz="0" w:space="0" w:color="auto"/>
        <w:bottom w:val="none" w:sz="0" w:space="0" w:color="auto"/>
        <w:right w:val="none" w:sz="0" w:space="0" w:color="auto"/>
      </w:divBdr>
    </w:div>
    <w:div w:id="301159335">
      <w:bodyDiv w:val="1"/>
      <w:marLeft w:val="0"/>
      <w:marRight w:val="0"/>
      <w:marTop w:val="0"/>
      <w:marBottom w:val="0"/>
      <w:divBdr>
        <w:top w:val="none" w:sz="0" w:space="0" w:color="auto"/>
        <w:left w:val="none" w:sz="0" w:space="0" w:color="auto"/>
        <w:bottom w:val="none" w:sz="0" w:space="0" w:color="auto"/>
        <w:right w:val="none" w:sz="0" w:space="0" w:color="auto"/>
      </w:divBdr>
    </w:div>
    <w:div w:id="455566988">
      <w:bodyDiv w:val="1"/>
      <w:marLeft w:val="0"/>
      <w:marRight w:val="0"/>
      <w:marTop w:val="0"/>
      <w:marBottom w:val="0"/>
      <w:divBdr>
        <w:top w:val="none" w:sz="0" w:space="0" w:color="auto"/>
        <w:left w:val="none" w:sz="0" w:space="0" w:color="auto"/>
        <w:bottom w:val="none" w:sz="0" w:space="0" w:color="auto"/>
        <w:right w:val="none" w:sz="0" w:space="0" w:color="auto"/>
      </w:divBdr>
    </w:div>
    <w:div w:id="618295809">
      <w:bodyDiv w:val="1"/>
      <w:marLeft w:val="0"/>
      <w:marRight w:val="0"/>
      <w:marTop w:val="0"/>
      <w:marBottom w:val="0"/>
      <w:divBdr>
        <w:top w:val="none" w:sz="0" w:space="0" w:color="auto"/>
        <w:left w:val="none" w:sz="0" w:space="0" w:color="auto"/>
        <w:bottom w:val="none" w:sz="0" w:space="0" w:color="auto"/>
        <w:right w:val="none" w:sz="0" w:space="0" w:color="auto"/>
      </w:divBdr>
    </w:div>
    <w:div w:id="948855589">
      <w:bodyDiv w:val="1"/>
      <w:marLeft w:val="0"/>
      <w:marRight w:val="0"/>
      <w:marTop w:val="0"/>
      <w:marBottom w:val="0"/>
      <w:divBdr>
        <w:top w:val="none" w:sz="0" w:space="0" w:color="auto"/>
        <w:left w:val="none" w:sz="0" w:space="0" w:color="auto"/>
        <w:bottom w:val="none" w:sz="0" w:space="0" w:color="auto"/>
        <w:right w:val="none" w:sz="0" w:space="0" w:color="auto"/>
      </w:divBdr>
    </w:div>
    <w:div w:id="1133984635">
      <w:bodyDiv w:val="1"/>
      <w:marLeft w:val="0"/>
      <w:marRight w:val="0"/>
      <w:marTop w:val="0"/>
      <w:marBottom w:val="0"/>
      <w:divBdr>
        <w:top w:val="none" w:sz="0" w:space="0" w:color="auto"/>
        <w:left w:val="none" w:sz="0" w:space="0" w:color="auto"/>
        <w:bottom w:val="none" w:sz="0" w:space="0" w:color="auto"/>
        <w:right w:val="none" w:sz="0" w:space="0" w:color="auto"/>
      </w:divBdr>
    </w:div>
    <w:div w:id="1420365875">
      <w:bodyDiv w:val="1"/>
      <w:marLeft w:val="0"/>
      <w:marRight w:val="0"/>
      <w:marTop w:val="0"/>
      <w:marBottom w:val="0"/>
      <w:divBdr>
        <w:top w:val="none" w:sz="0" w:space="0" w:color="auto"/>
        <w:left w:val="none" w:sz="0" w:space="0" w:color="auto"/>
        <w:bottom w:val="none" w:sz="0" w:space="0" w:color="auto"/>
        <w:right w:val="none" w:sz="0" w:space="0" w:color="auto"/>
      </w:divBdr>
    </w:div>
    <w:div w:id="1577089004">
      <w:bodyDiv w:val="1"/>
      <w:marLeft w:val="0"/>
      <w:marRight w:val="0"/>
      <w:marTop w:val="0"/>
      <w:marBottom w:val="0"/>
      <w:divBdr>
        <w:top w:val="none" w:sz="0" w:space="0" w:color="auto"/>
        <w:left w:val="none" w:sz="0" w:space="0" w:color="auto"/>
        <w:bottom w:val="none" w:sz="0" w:space="0" w:color="auto"/>
        <w:right w:val="none" w:sz="0" w:space="0" w:color="auto"/>
      </w:divBdr>
    </w:div>
    <w:div w:id="1677150426">
      <w:bodyDiv w:val="1"/>
      <w:marLeft w:val="0"/>
      <w:marRight w:val="0"/>
      <w:marTop w:val="0"/>
      <w:marBottom w:val="0"/>
      <w:divBdr>
        <w:top w:val="none" w:sz="0" w:space="0" w:color="auto"/>
        <w:left w:val="none" w:sz="0" w:space="0" w:color="auto"/>
        <w:bottom w:val="none" w:sz="0" w:space="0" w:color="auto"/>
        <w:right w:val="none" w:sz="0" w:space="0" w:color="auto"/>
      </w:divBdr>
    </w:div>
    <w:div w:id="196604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MAero2006 osszefoglalo minta</vt:lpstr>
    </vt:vector>
  </TitlesOfParts>
  <Company>ELTE Environmental Chemistry</Company>
  <LinksUpToDate>false</LinksUpToDate>
  <CharactersWithSpaces>3582</CharactersWithSpaces>
  <SharedDoc>false</SharedDoc>
  <HLinks>
    <vt:vector size="6" baseType="variant">
      <vt:variant>
        <vt:i4>8323151</vt:i4>
      </vt:variant>
      <vt:variant>
        <vt:i4>3</vt:i4>
      </vt:variant>
      <vt:variant>
        <vt:i4>0</vt:i4>
      </vt:variant>
      <vt:variant>
        <vt:i4>5</vt:i4>
      </vt:variant>
      <vt:variant>
        <vt:lpwstr>mailto:salma@para.chem.elte.hu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MAero2006 osszefoglalo minta</dc:title>
  <dc:subject/>
  <dc:creator>Imre SALMA</dc:creator>
  <cp:keywords/>
  <dc:description/>
  <cp:lastModifiedBy>Zsófia Kertész</cp:lastModifiedBy>
  <cp:revision>5</cp:revision>
  <dcterms:created xsi:type="dcterms:W3CDTF">2026-03-20T10:58:00Z</dcterms:created>
  <dcterms:modified xsi:type="dcterms:W3CDTF">2026-03-20T11:02:00Z</dcterms:modified>
</cp:coreProperties>
</file>